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446"/>
      </w:tblGrid>
      <w:tr w:rsidR="008B5E48" w:rsidRPr="008B5E48" w:rsidTr="008B5E48">
        <w:tc>
          <w:tcPr>
            <w:tcW w:w="0" w:type="auto"/>
            <w:vAlign w:val="center"/>
            <w:hideMark/>
          </w:tcPr>
          <w:tbl>
            <w:tblPr>
              <w:tblW w:w="4100" w:type="pct"/>
              <w:jc w:val="center"/>
              <w:tblCellMar>
                <w:left w:w="0" w:type="dxa"/>
                <w:right w:w="0" w:type="dxa"/>
              </w:tblCellMar>
              <w:tblLook w:val="04A0" w:firstRow="1" w:lastRow="0" w:firstColumn="1" w:lastColumn="0" w:noHBand="0" w:noVBand="1"/>
            </w:tblPr>
            <w:tblGrid>
              <w:gridCol w:w="7746"/>
            </w:tblGrid>
            <w:tr w:rsidR="008B5E48" w:rsidRPr="008B5E48">
              <w:trPr>
                <w:trHeight w:val="1050"/>
                <w:jc w:val="center"/>
              </w:trPr>
              <w:tc>
                <w:tcPr>
                  <w:tcW w:w="0" w:type="auto"/>
                  <w:tcMar>
                    <w:top w:w="150" w:type="dxa"/>
                    <w:left w:w="300" w:type="dxa"/>
                    <w:bottom w:w="30" w:type="dxa"/>
                    <w:right w:w="300" w:type="dxa"/>
                  </w:tcMar>
                  <w:vAlign w:val="center"/>
                  <w:hideMark/>
                </w:tcPr>
                <w:p w:rsidR="008B5E48" w:rsidRPr="008B5E48" w:rsidRDefault="008B5E48" w:rsidP="008B5E48">
                  <w:pPr>
                    <w:widowControl/>
                    <w:spacing w:line="360" w:lineRule="atLeast"/>
                    <w:jc w:val="center"/>
                    <w:rPr>
                      <w:rFonts w:ascii="宋体" w:eastAsia="宋体" w:hAnsi="宋体" w:cs="宋体"/>
                      <w:b/>
                      <w:bCs/>
                      <w:color w:val="024C93"/>
                      <w:kern w:val="0"/>
                      <w:sz w:val="30"/>
                      <w:szCs w:val="30"/>
                    </w:rPr>
                  </w:pPr>
                  <w:r w:rsidRPr="00FE177E">
                    <w:rPr>
                      <w:rFonts w:ascii="宋体" w:eastAsia="宋体" w:hAnsi="宋体" w:cs="宋体"/>
                      <w:b/>
                      <w:bCs/>
                      <w:kern w:val="0"/>
                      <w:sz w:val="30"/>
                      <w:szCs w:val="30"/>
                    </w:rPr>
                    <w:t>2019年优秀新生入学奖学金评定办法</w:t>
                  </w:r>
                </w:p>
              </w:tc>
            </w:tr>
            <w:tr w:rsidR="008B5E48" w:rsidRPr="008B5E48">
              <w:trPr>
                <w:jc w:val="center"/>
              </w:trPr>
              <w:tc>
                <w:tcPr>
                  <w:tcW w:w="0" w:type="auto"/>
                  <w:tcMar>
                    <w:top w:w="0" w:type="dxa"/>
                    <w:left w:w="300" w:type="dxa"/>
                    <w:bottom w:w="225" w:type="dxa"/>
                    <w:right w:w="300" w:type="dxa"/>
                  </w:tcMar>
                  <w:vAlign w:val="center"/>
                  <w:hideMark/>
                </w:tcPr>
                <w:p w:rsidR="008B5E48" w:rsidRPr="008B5E48" w:rsidRDefault="008B5E48" w:rsidP="008B5E48">
                  <w:pPr>
                    <w:widowControl/>
                    <w:jc w:val="center"/>
                    <w:rPr>
                      <w:rFonts w:ascii="黑体" w:eastAsia="黑体" w:hAnsi="黑体" w:cs="宋体"/>
                      <w:b/>
                      <w:bCs/>
                      <w:color w:val="024C93"/>
                      <w:kern w:val="0"/>
                      <w:sz w:val="29"/>
                      <w:szCs w:val="29"/>
                    </w:rPr>
                  </w:pPr>
                </w:p>
              </w:tc>
            </w:tr>
          </w:tbl>
          <w:p w:rsidR="008B5E48" w:rsidRPr="008B5E48" w:rsidRDefault="008B5E48" w:rsidP="008B5E48">
            <w:pPr>
              <w:widowControl/>
              <w:jc w:val="center"/>
              <w:rPr>
                <w:rFonts w:ascii="宋体" w:eastAsia="宋体" w:hAnsi="宋体" w:cs="宋体"/>
                <w:vanish/>
                <w:kern w:val="0"/>
                <w:sz w:val="18"/>
                <w:szCs w:val="18"/>
              </w:rPr>
            </w:pPr>
          </w:p>
          <w:p w:rsidR="008B5E48" w:rsidRPr="008B5E48" w:rsidRDefault="008B5E48" w:rsidP="008B5E48">
            <w:pPr>
              <w:widowControl/>
              <w:jc w:val="center"/>
              <w:rPr>
                <w:rFonts w:ascii="宋体" w:eastAsia="宋体" w:hAnsi="宋体" w:cs="宋体"/>
                <w:vanish/>
                <w:kern w:val="0"/>
                <w:sz w:val="18"/>
                <w:szCs w:val="18"/>
              </w:rPr>
            </w:pPr>
          </w:p>
          <w:tbl>
            <w:tblPr>
              <w:tblW w:w="4100" w:type="pct"/>
              <w:jc w:val="center"/>
              <w:tblCellMar>
                <w:left w:w="0" w:type="dxa"/>
                <w:right w:w="0" w:type="dxa"/>
              </w:tblCellMar>
              <w:tblLook w:val="04A0" w:firstRow="1" w:lastRow="0" w:firstColumn="1" w:lastColumn="0" w:noHBand="0" w:noVBand="1"/>
            </w:tblPr>
            <w:tblGrid>
              <w:gridCol w:w="7746"/>
            </w:tblGrid>
            <w:tr w:rsidR="008B5E48" w:rsidRPr="008B5E48">
              <w:trPr>
                <w:trHeight w:val="300"/>
                <w:jc w:val="center"/>
              </w:trPr>
              <w:tc>
                <w:tcPr>
                  <w:tcW w:w="0" w:type="auto"/>
                  <w:vAlign w:val="center"/>
                  <w:hideMark/>
                </w:tcPr>
                <w:p w:rsidR="008B5E48" w:rsidRPr="008B5E48" w:rsidRDefault="008B5E48" w:rsidP="008B5E48">
                  <w:pPr>
                    <w:widowControl/>
                    <w:jc w:val="left"/>
                    <w:rPr>
                      <w:rFonts w:ascii="宋体" w:eastAsia="宋体" w:hAnsi="宋体" w:cs="宋体"/>
                      <w:kern w:val="0"/>
                      <w:sz w:val="18"/>
                      <w:szCs w:val="18"/>
                    </w:rPr>
                  </w:pPr>
                </w:p>
              </w:tc>
            </w:tr>
          </w:tbl>
          <w:p w:rsidR="008B5E48" w:rsidRPr="008B5E48" w:rsidRDefault="008B5E48" w:rsidP="008B5E48">
            <w:pPr>
              <w:widowControl/>
              <w:jc w:val="center"/>
              <w:rPr>
                <w:rFonts w:ascii="宋体" w:eastAsia="宋体" w:hAnsi="宋体" w:cs="宋体"/>
                <w:kern w:val="0"/>
                <w:sz w:val="18"/>
                <w:szCs w:val="18"/>
              </w:rPr>
            </w:pPr>
          </w:p>
        </w:tc>
      </w:tr>
    </w:tbl>
    <w:p w:rsidR="008B5E48" w:rsidRPr="008B5E48" w:rsidRDefault="008B5E48" w:rsidP="008B5E48">
      <w:pPr>
        <w:widowControl/>
        <w:jc w:val="left"/>
        <w:rPr>
          <w:rFonts w:ascii="宋体" w:eastAsia="宋体" w:hAnsi="宋体" w:cs="宋体"/>
          <w:vanish/>
          <w:kern w:val="0"/>
          <w:sz w:val="24"/>
          <w:szCs w:val="24"/>
        </w:rPr>
      </w:pPr>
    </w:p>
    <w:tbl>
      <w:tblPr>
        <w:tblW w:w="5000" w:type="pct"/>
        <w:tblCellMar>
          <w:left w:w="0" w:type="dxa"/>
          <w:right w:w="0" w:type="dxa"/>
        </w:tblCellMar>
        <w:tblLook w:val="04A0" w:firstRow="1" w:lastRow="0" w:firstColumn="1" w:lastColumn="0" w:noHBand="0" w:noVBand="1"/>
      </w:tblPr>
      <w:tblGrid>
        <w:gridCol w:w="1200"/>
        <w:gridCol w:w="8246"/>
      </w:tblGrid>
      <w:tr w:rsidR="008B5E48" w:rsidRPr="008B5E48" w:rsidTr="008B5E48">
        <w:tc>
          <w:tcPr>
            <w:tcW w:w="1200" w:type="dxa"/>
            <w:vAlign w:val="center"/>
            <w:hideMark/>
          </w:tcPr>
          <w:p w:rsidR="008B5E48" w:rsidRPr="008B5E48" w:rsidRDefault="008B5E48" w:rsidP="008B5E48">
            <w:pPr>
              <w:widowControl/>
              <w:jc w:val="left"/>
              <w:rPr>
                <w:rFonts w:ascii="宋体" w:eastAsia="宋体" w:hAnsi="宋体" w:cs="宋体"/>
                <w:kern w:val="0"/>
                <w:sz w:val="18"/>
                <w:szCs w:val="18"/>
              </w:rPr>
            </w:pPr>
          </w:p>
        </w:tc>
        <w:tc>
          <w:tcPr>
            <w:tcW w:w="0" w:type="auto"/>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246"/>
            </w:tblGrid>
            <w:tr w:rsidR="008B5E48" w:rsidRPr="008B5E48">
              <w:trPr>
                <w:trHeight w:val="5400"/>
              </w:trPr>
              <w:tc>
                <w:tcPr>
                  <w:tcW w:w="0" w:type="auto"/>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246"/>
                  </w:tblGrid>
                  <w:tr w:rsidR="008B5E48" w:rsidRPr="008B5E48">
                    <w:trPr>
                      <w:trHeight w:val="5400"/>
                    </w:trPr>
                    <w:tc>
                      <w:tcPr>
                        <w:tcW w:w="0" w:type="auto"/>
                        <w:hideMark/>
                      </w:tcPr>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为鼓励更多优秀学生报考我校，提高学校生源质量，特制定《上海应用技术大学优秀新生入学奖学金评定办法》。</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b/>
                            <w:bCs/>
                            <w:kern w:val="0"/>
                            <w:sz w:val="29"/>
                            <w:szCs w:val="29"/>
                          </w:rPr>
                          <w:t>一、评奖条件：</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b/>
                            <w:bCs/>
                            <w:kern w:val="0"/>
                            <w:sz w:val="29"/>
                            <w:szCs w:val="29"/>
                          </w:rPr>
                          <w:t>1</w:t>
                        </w:r>
                        <w:r w:rsidRPr="008B5E48">
                          <w:rPr>
                            <w:rFonts w:ascii="宋体" w:eastAsia="宋体" w:hAnsi="宋体" w:cs="宋体"/>
                            <w:kern w:val="0"/>
                            <w:sz w:val="29"/>
                            <w:szCs w:val="29"/>
                          </w:rPr>
                          <w:t>、参加秋季高考录取的新生。</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2、第一志愿报考我校录取的新生（不含征集志愿）。</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3、新生学籍复查合格。</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4、无违纪违规记录。</w:t>
                        </w:r>
                      </w:p>
                      <w:p w:rsidR="008B5E48" w:rsidRPr="008B5E48" w:rsidRDefault="008B5E48" w:rsidP="008B5E48">
                        <w:pPr>
                          <w:widowControl/>
                          <w:spacing w:line="480" w:lineRule="atLeast"/>
                          <w:jc w:val="left"/>
                          <w:rPr>
                            <w:rFonts w:ascii="宋体" w:eastAsia="宋体" w:hAnsi="宋体" w:cs="宋体"/>
                            <w:kern w:val="0"/>
                            <w:szCs w:val="21"/>
                          </w:rPr>
                        </w:pPr>
                        <w:r w:rsidRPr="008B5E48">
                          <w:rPr>
                            <w:rFonts w:ascii="宋体" w:eastAsia="宋体" w:hAnsi="宋体" w:cs="宋体"/>
                            <w:b/>
                            <w:bCs/>
                            <w:kern w:val="0"/>
                            <w:sz w:val="29"/>
                            <w:szCs w:val="29"/>
                          </w:rPr>
                          <w:t>  二、评奖范围</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1、高考文化总分（不含附加分）超过报考省市一本线（自招线）的优秀新生，择优评定。</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2、综合改革省市（上海和浙江）的新生单独评定，依据高考文化总分（不含附加分）并参考普通高中学生综合素质评价信息，择优评定。</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3、艺术类新生单独评定，按</w:t>
                        </w:r>
                        <w:proofErr w:type="gramStart"/>
                        <w:r w:rsidRPr="008B5E48">
                          <w:rPr>
                            <w:rFonts w:ascii="宋体" w:eastAsia="宋体" w:hAnsi="宋体" w:cs="宋体"/>
                            <w:kern w:val="0"/>
                            <w:sz w:val="29"/>
                            <w:szCs w:val="29"/>
                          </w:rPr>
                          <w:t>合成分</w:t>
                        </w:r>
                        <w:proofErr w:type="gramEnd"/>
                        <w:r w:rsidRPr="008B5E48">
                          <w:rPr>
                            <w:rFonts w:ascii="宋体" w:eastAsia="宋体" w:hAnsi="宋体" w:cs="宋体"/>
                            <w:kern w:val="0"/>
                            <w:sz w:val="29"/>
                            <w:szCs w:val="29"/>
                          </w:rPr>
                          <w:t>=(专业成绩/专业满分+高考文化总分（不含附加分）/高考文化满分)</w:t>
                        </w:r>
                        <w:r w:rsidRPr="008B5E48">
                          <w:rPr>
                            <w:rFonts w:ascii="微软雅黑" w:eastAsia="微软雅黑" w:hAnsi="微软雅黑" w:cs="宋体" w:hint="eastAsia"/>
                            <w:kern w:val="0"/>
                            <w:sz w:val="29"/>
                            <w:szCs w:val="29"/>
                          </w:rPr>
                          <w:t>х</w:t>
                        </w:r>
                        <w:r w:rsidRPr="008B5E48">
                          <w:rPr>
                            <w:rFonts w:ascii="宋体" w:eastAsia="宋体" w:hAnsi="宋体" w:cs="宋体"/>
                            <w:kern w:val="0"/>
                            <w:sz w:val="29"/>
                            <w:szCs w:val="29"/>
                          </w:rPr>
                          <w:t>50，从高分到低分，择优评定。</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三、</w:t>
                        </w:r>
                        <w:r w:rsidRPr="008B5E48">
                          <w:rPr>
                            <w:rFonts w:ascii="宋体" w:eastAsia="宋体" w:hAnsi="宋体" w:cs="宋体"/>
                            <w:b/>
                            <w:bCs/>
                            <w:kern w:val="0"/>
                            <w:sz w:val="29"/>
                            <w:szCs w:val="29"/>
                          </w:rPr>
                          <w:t>评奖等级及金额</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一等奖10000元/人；二等奖5000元/人；三等奖2000元/人</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b/>
                            <w:bCs/>
                            <w:kern w:val="0"/>
                            <w:sz w:val="29"/>
                            <w:szCs w:val="29"/>
                          </w:rPr>
                          <w:t>四、评奖人数</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在符合评奖条件的新生范围中，由学校按一定比例确定获奖总</w:t>
                        </w:r>
                        <w:r w:rsidRPr="008B5E48">
                          <w:rPr>
                            <w:rFonts w:ascii="宋体" w:eastAsia="宋体" w:hAnsi="宋体" w:cs="宋体"/>
                            <w:kern w:val="0"/>
                            <w:sz w:val="29"/>
                            <w:szCs w:val="29"/>
                          </w:rPr>
                          <w:lastRenderedPageBreak/>
                          <w:t>人数和等级，并按该比例确定各省市二、三等奖获奖人数、等级和名单；综合改革省市（浙江和上海）获奖等级、人数根据录取情况另行确定；艺术</w:t>
                        </w:r>
                        <w:proofErr w:type="gramStart"/>
                        <w:r w:rsidRPr="008B5E48">
                          <w:rPr>
                            <w:rFonts w:ascii="宋体" w:eastAsia="宋体" w:hAnsi="宋体" w:cs="宋体"/>
                            <w:kern w:val="0"/>
                            <w:sz w:val="29"/>
                            <w:szCs w:val="29"/>
                          </w:rPr>
                          <w:t>类设立</w:t>
                        </w:r>
                        <w:proofErr w:type="gramEnd"/>
                        <w:r w:rsidRPr="008B5E48">
                          <w:rPr>
                            <w:rFonts w:ascii="宋体" w:eastAsia="宋体" w:hAnsi="宋体" w:cs="宋体"/>
                            <w:kern w:val="0"/>
                            <w:sz w:val="29"/>
                            <w:szCs w:val="29"/>
                          </w:rPr>
                          <w:t>获奖名额5名。以上获奖等级新生均无须自行申报。</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b/>
                            <w:bCs/>
                            <w:kern w:val="0"/>
                            <w:sz w:val="29"/>
                            <w:szCs w:val="29"/>
                          </w:rPr>
                          <w:t>五、一等奖评选</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一等奖为特别优秀的学生，须获得上海应用技术大学优秀新生入学奖学金二等奖资格，且高中期间获得省级及以上学科竞赛奖（含荣誉称号）或高考文化总分（不含附加分）特别突出</w:t>
                        </w:r>
                        <w:r w:rsidRPr="008B5E48">
                          <w:rPr>
                            <w:rFonts w:ascii="宋体" w:eastAsia="宋体" w:hAnsi="宋体" w:cs="宋体"/>
                            <w:kern w:val="0"/>
                            <w:sz w:val="24"/>
                            <w:szCs w:val="24"/>
                          </w:rPr>
                          <w:t>。</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一等奖由符合条件的学生自行申报，招生领导小组进行评审，名额根据申报情况确定。</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b/>
                            <w:bCs/>
                            <w:kern w:val="0"/>
                            <w:sz w:val="29"/>
                            <w:szCs w:val="29"/>
                          </w:rPr>
                          <w:t>六、评奖程序和发放</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由招生办公室和学生处根据各省市新生录取情况提出评奖原则和方案，经招生领导小组讨论确定、校长办公会审核通过，公示一周。</w:t>
                        </w:r>
                      </w:p>
                      <w:p w:rsidR="008B5E48" w:rsidRPr="008B5E48" w:rsidRDefault="008B5E48" w:rsidP="008B5E48">
                        <w:pPr>
                          <w:widowControl/>
                          <w:spacing w:line="480" w:lineRule="atLeast"/>
                          <w:ind w:firstLine="555"/>
                          <w:jc w:val="left"/>
                          <w:rPr>
                            <w:rFonts w:ascii="宋体" w:eastAsia="宋体" w:hAnsi="宋体" w:cs="宋体"/>
                            <w:kern w:val="0"/>
                            <w:szCs w:val="21"/>
                          </w:rPr>
                        </w:pPr>
                        <w:r w:rsidRPr="008B5E48">
                          <w:rPr>
                            <w:rFonts w:ascii="宋体" w:eastAsia="宋体" w:hAnsi="宋体" w:cs="宋体"/>
                            <w:kern w:val="0"/>
                            <w:sz w:val="29"/>
                            <w:szCs w:val="29"/>
                          </w:rPr>
                          <w:t>根据教育部41号令，学校将在学生入学三个月内，按照国家招生规定对学生进行复查，复查合格后予以发放。复查不合格或放弃入学资格及学籍的学生，则取消其所获优秀新生入学奖学金。</w:t>
                        </w:r>
                      </w:p>
                      <w:p w:rsidR="008B5E48" w:rsidRDefault="008B5E48" w:rsidP="008B5E48">
                        <w:pPr>
                          <w:widowControl/>
                          <w:spacing w:line="480" w:lineRule="atLeast"/>
                          <w:ind w:firstLineChars="1600" w:firstLine="4640"/>
                          <w:jc w:val="left"/>
                          <w:rPr>
                            <w:rFonts w:ascii="宋体" w:eastAsia="宋体" w:hAnsi="宋体" w:cs="宋体"/>
                            <w:kern w:val="0"/>
                            <w:sz w:val="29"/>
                            <w:szCs w:val="29"/>
                          </w:rPr>
                        </w:pPr>
                      </w:p>
                      <w:p w:rsidR="008B5E48" w:rsidRPr="008B5E48" w:rsidRDefault="008B5E48" w:rsidP="008B5E48">
                        <w:pPr>
                          <w:widowControl/>
                          <w:spacing w:line="480" w:lineRule="atLeast"/>
                          <w:jc w:val="left"/>
                          <w:rPr>
                            <w:rFonts w:ascii="宋体" w:eastAsia="宋体" w:hAnsi="宋体" w:cs="宋体"/>
                            <w:kern w:val="0"/>
                            <w:szCs w:val="21"/>
                          </w:rPr>
                        </w:pPr>
                        <w:bookmarkStart w:id="0" w:name="_GoBack"/>
                        <w:bookmarkEnd w:id="0"/>
                      </w:p>
                    </w:tc>
                  </w:tr>
                </w:tbl>
                <w:p w:rsidR="008B5E48" w:rsidRPr="008B5E48" w:rsidRDefault="008B5E48" w:rsidP="008B5E48">
                  <w:pPr>
                    <w:widowControl/>
                    <w:spacing w:line="408" w:lineRule="atLeast"/>
                    <w:jc w:val="right"/>
                    <w:rPr>
                      <w:rFonts w:ascii="宋体" w:eastAsia="宋体" w:hAnsi="宋体" w:cs="宋体"/>
                      <w:kern w:val="0"/>
                      <w:szCs w:val="21"/>
                    </w:rPr>
                  </w:pPr>
                </w:p>
              </w:tc>
            </w:tr>
          </w:tbl>
          <w:p w:rsidR="008B5E48" w:rsidRPr="008B5E48" w:rsidRDefault="008B5E48" w:rsidP="008B5E48">
            <w:pPr>
              <w:widowControl/>
              <w:jc w:val="left"/>
              <w:rPr>
                <w:rFonts w:ascii="宋体" w:eastAsia="宋体" w:hAnsi="宋体" w:cs="宋体"/>
                <w:kern w:val="0"/>
                <w:sz w:val="18"/>
                <w:szCs w:val="18"/>
              </w:rPr>
            </w:pPr>
          </w:p>
        </w:tc>
      </w:tr>
    </w:tbl>
    <w:p w:rsidR="00F668AD" w:rsidRPr="008B5E48" w:rsidRDefault="00F668AD"/>
    <w:sectPr w:rsidR="00F668AD" w:rsidRPr="008B5E48" w:rsidSect="008B5E48">
      <w:pgSz w:w="11906" w:h="16838"/>
      <w:pgMar w:top="1440" w:right="1230" w:bottom="873" w:left="123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48"/>
    <w:rsid w:val="008B5E48"/>
    <w:rsid w:val="00F668AD"/>
    <w:rsid w:val="00FE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8B5E48"/>
  </w:style>
  <w:style w:type="character" w:customStyle="1" w:styleId="style2">
    <w:name w:val="style2"/>
    <w:basedOn w:val="a0"/>
    <w:rsid w:val="008B5E48"/>
  </w:style>
  <w:style w:type="character" w:customStyle="1" w:styleId="apple-converted-space">
    <w:name w:val="apple-converted-space"/>
    <w:basedOn w:val="a0"/>
    <w:rsid w:val="008B5E48"/>
  </w:style>
  <w:style w:type="character" w:customStyle="1" w:styleId="articlepublishdate">
    <w:name w:val="article_publishdate"/>
    <w:basedOn w:val="a0"/>
    <w:rsid w:val="008B5E48"/>
  </w:style>
  <w:style w:type="character" w:customStyle="1" w:styleId="wpvisitcount">
    <w:name w:val="wp_visitcount"/>
    <w:basedOn w:val="a0"/>
    <w:rsid w:val="008B5E48"/>
  </w:style>
  <w:style w:type="paragraph" w:styleId="a3">
    <w:name w:val="Normal (Web)"/>
    <w:basedOn w:val="a"/>
    <w:uiPriority w:val="99"/>
    <w:unhideWhenUsed/>
    <w:rsid w:val="008B5E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5E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8B5E48"/>
  </w:style>
  <w:style w:type="character" w:customStyle="1" w:styleId="style2">
    <w:name w:val="style2"/>
    <w:basedOn w:val="a0"/>
    <w:rsid w:val="008B5E48"/>
  </w:style>
  <w:style w:type="character" w:customStyle="1" w:styleId="apple-converted-space">
    <w:name w:val="apple-converted-space"/>
    <w:basedOn w:val="a0"/>
    <w:rsid w:val="008B5E48"/>
  </w:style>
  <w:style w:type="character" w:customStyle="1" w:styleId="articlepublishdate">
    <w:name w:val="article_publishdate"/>
    <w:basedOn w:val="a0"/>
    <w:rsid w:val="008B5E48"/>
  </w:style>
  <w:style w:type="character" w:customStyle="1" w:styleId="wpvisitcount">
    <w:name w:val="wp_visitcount"/>
    <w:basedOn w:val="a0"/>
    <w:rsid w:val="008B5E48"/>
  </w:style>
  <w:style w:type="paragraph" w:styleId="a3">
    <w:name w:val="Normal (Web)"/>
    <w:basedOn w:val="a"/>
    <w:uiPriority w:val="99"/>
    <w:unhideWhenUsed/>
    <w:rsid w:val="008B5E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5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8044">
      <w:bodyDiv w:val="1"/>
      <w:marLeft w:val="0"/>
      <w:marRight w:val="0"/>
      <w:marTop w:val="0"/>
      <w:marBottom w:val="0"/>
      <w:divBdr>
        <w:top w:val="none" w:sz="0" w:space="0" w:color="auto"/>
        <w:left w:val="none" w:sz="0" w:space="0" w:color="auto"/>
        <w:bottom w:val="none" w:sz="0" w:space="0" w:color="auto"/>
        <w:right w:val="none" w:sz="0" w:space="0" w:color="auto"/>
      </w:divBdr>
      <w:divsChild>
        <w:div w:id="806583643">
          <w:marLeft w:val="0"/>
          <w:marRight w:val="0"/>
          <w:marTop w:val="0"/>
          <w:marBottom w:val="0"/>
          <w:divBdr>
            <w:top w:val="none" w:sz="0" w:space="0" w:color="auto"/>
            <w:left w:val="none" w:sz="0" w:space="0" w:color="auto"/>
            <w:bottom w:val="none" w:sz="0" w:space="0" w:color="auto"/>
            <w:right w:val="none" w:sz="0" w:space="0" w:color="auto"/>
          </w:divBdr>
          <w:divsChild>
            <w:div w:id="6146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jiang</cp:lastModifiedBy>
  <cp:revision>2</cp:revision>
  <dcterms:created xsi:type="dcterms:W3CDTF">2019-07-01T03:13:00Z</dcterms:created>
  <dcterms:modified xsi:type="dcterms:W3CDTF">2019-09-25T00:14:00Z</dcterms:modified>
</cp:coreProperties>
</file>